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6F88" w14:textId="1C9EF3D8" w:rsidR="001C3BFF" w:rsidRDefault="001C3BFF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7"/>
          <w:szCs w:val="27"/>
          <w:lang w:eastAsia="en-GB"/>
          <w14:ligatures w14:val="none"/>
        </w:rPr>
      </w:pPr>
      <w:r>
        <w:rPr>
          <w:rFonts w:ascii="Montserrat" w:eastAsia="Times New Roman" w:hAnsi="Montserrat" w:cs="Open Sans"/>
          <w:caps/>
          <w:noProof/>
          <w:color w:val="111111"/>
          <w:spacing w:val="53"/>
          <w:kern w:val="0"/>
          <w:sz w:val="27"/>
          <w:szCs w:val="27"/>
          <w:lang w:eastAsia="en-GB"/>
        </w:rPr>
        <w:drawing>
          <wp:inline distT="0" distB="0" distL="0" distR="0" wp14:anchorId="18FD66BC" wp14:editId="4C5AF5CA">
            <wp:extent cx="6881813" cy="3754271"/>
            <wp:effectExtent l="0" t="0" r="0" b="0"/>
            <wp:docPr id="407751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51158" name="Picture 4077511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689" cy="376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EA2A" w14:textId="082FE097" w:rsidR="00CA4166" w:rsidRDefault="00CA4166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7"/>
          <w:szCs w:val="27"/>
          <w:lang w:eastAsia="en-GB"/>
          <w14:ligatures w14:val="none"/>
        </w:rPr>
      </w:pPr>
    </w:p>
    <w:p w14:paraId="4F42FF63" w14:textId="77777777" w:rsidR="00E12FCC" w:rsidRDefault="00E12FCC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7"/>
          <w:szCs w:val="27"/>
          <w:lang w:eastAsia="en-GB"/>
          <w14:ligatures w14:val="none"/>
        </w:rPr>
        <w:sectPr w:rsidR="00E12FCC" w:rsidSect="009D5701">
          <w:headerReference w:type="default" r:id="rId8"/>
          <w:footerReference w:type="default" r:id="rId9"/>
          <w:pgSz w:w="11906" w:h="16838"/>
          <w:pgMar w:top="2176" w:right="424" w:bottom="1440" w:left="567" w:header="708" w:footer="708" w:gutter="0"/>
          <w:cols w:space="708"/>
          <w:docGrid w:linePitch="360"/>
        </w:sectPr>
      </w:pPr>
    </w:p>
    <w:p w14:paraId="56E8EABC" w14:textId="468FA1BF" w:rsidR="00CA4166" w:rsidRPr="00CA4166" w:rsidRDefault="00CA4166" w:rsidP="00E12FCC">
      <w:pPr>
        <w:shd w:val="clear" w:color="auto" w:fill="FFFFFF"/>
        <w:spacing w:before="36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</w:pP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>PRINCIPLE OF THE TPHA TEST</w:t>
      </w:r>
    </w:p>
    <w:p w14:paraId="40820451" w14:textId="74997D0D" w:rsidR="00CA4166" w:rsidRPr="00CA4166" w:rsidRDefault="00CA4166" w:rsidP="00CA416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NewBio TPHA is a passive particle agglutination assay for the qualitative detection of IgG and IgM antibodies to Treponema pallidum in human serum</w:t>
      </w:r>
      <w:r w:rsidR="00EA3B2F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 xml:space="preserve">, </w:t>
      </w: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EDTA plasm</w:t>
      </w:r>
      <w:r w:rsidR="00EA3B2F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 xml:space="preserve">a, or CSF </w:t>
      </w: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and to determine the titre level of the samples.</w:t>
      </w:r>
    </w:p>
    <w:p w14:paraId="56EC5EFB" w14:textId="77777777" w:rsidR="00CA4166" w:rsidRPr="00CA4166" w:rsidRDefault="00CA4166" w:rsidP="00CA416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NewBio TPHA uses preserved avian erythrocytes coated with extracted antigens of T.pallidum (</w:t>
      </w:r>
      <w:proofErr w:type="gramStart"/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Nichols</w:t>
      </w:r>
      <w:proofErr w:type="gramEnd"/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 xml:space="preserve"> strain). Specific antibodies present in a sample of plasma or serum bind to these antigens when the sample is incubated with the particles. This causes the particles to agglutinate, then settle to form a characteristic pattern in the test well.</w:t>
      </w:r>
    </w:p>
    <w:p w14:paraId="4504AEEE" w14:textId="77777777" w:rsidR="00CA4166" w:rsidRPr="00CA4166" w:rsidRDefault="00CA4166" w:rsidP="00CA416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Non-specific reactions are eliminated by the use of absorbents. The assay is run and interpreted manually.</w:t>
      </w:r>
    </w:p>
    <w:p w14:paraId="5FB7C1F1" w14:textId="77777777" w:rsidR="00CA4166" w:rsidRPr="00CA4166" w:rsidRDefault="00CA4166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</w:pP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>SPECIFICITY</w:t>
      </w:r>
    </w:p>
    <w:p w14:paraId="27982074" w14:textId="77777777" w:rsidR="00CA4166" w:rsidRPr="00CA4166" w:rsidRDefault="00CA4166" w:rsidP="00CA416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A study with 1248 syphilis negative EDTA plasma samples showed 99.92% specificity (95% confidence interval 99.55-100.0%)</w:t>
      </w:r>
    </w:p>
    <w:p w14:paraId="1221DD2E" w14:textId="77777777" w:rsidR="00CA4166" w:rsidRPr="00CA4166" w:rsidRDefault="00CA4166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</w:pP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>SENSITIVITY</w:t>
      </w:r>
    </w:p>
    <w:p w14:paraId="382EFBC9" w14:textId="77777777" w:rsidR="00CA4166" w:rsidRPr="00CA4166" w:rsidRDefault="00CA4166" w:rsidP="00CA416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A study with 205 syphilis positive samples (48 EDTA plasma and 157 sera) showed 100% sensitivity (95% confidence interval 98.22-100.0%)</w:t>
      </w:r>
    </w:p>
    <w:p w14:paraId="7D7E3232" w14:textId="77777777" w:rsidR="00CA4166" w:rsidRPr="00CA4166" w:rsidRDefault="00CA4166" w:rsidP="00CA4166">
      <w:pPr>
        <w:shd w:val="clear" w:color="auto" w:fill="FFFFFF"/>
        <w:spacing w:before="300" w:after="150" w:line="240" w:lineRule="auto"/>
        <w:jc w:val="both"/>
        <w:outlineLvl w:val="2"/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</w:pPr>
      <w:r w:rsidRPr="00CA4166">
        <w:rPr>
          <w:rFonts w:ascii="Montserrat" w:eastAsia="Times New Roman" w:hAnsi="Montserrat" w:cs="Open Sans"/>
          <w:caps/>
          <w:color w:val="111111"/>
          <w:spacing w:val="53"/>
          <w:kern w:val="0"/>
          <w:sz w:val="24"/>
          <w:szCs w:val="24"/>
          <w:lang w:eastAsia="en-GB"/>
          <w14:ligatures w14:val="none"/>
        </w:rPr>
        <w:t>LIMIT OF DETECTION</w:t>
      </w:r>
    </w:p>
    <w:p w14:paraId="6D58A2BF" w14:textId="77777777" w:rsidR="00CA4166" w:rsidRPr="00CA4166" w:rsidRDefault="00CA4166" w:rsidP="00CA416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</w:pPr>
      <w:r w:rsidRPr="00CA4166">
        <w:rPr>
          <w:rFonts w:ascii="Open Sans" w:eastAsia="Times New Roman" w:hAnsi="Open Sans" w:cs="Open Sans"/>
          <w:color w:val="777777"/>
          <w:spacing w:val="3"/>
          <w:kern w:val="0"/>
          <w:sz w:val="21"/>
          <w:szCs w:val="21"/>
          <w:lang w:eastAsia="en-GB"/>
          <w14:ligatures w14:val="none"/>
        </w:rPr>
        <w:t>NewBio TPHA has an expected limit of detection of ≤0.1 IU/mL against the WHO 1st IS for human syphilitic plasma IgG NIBSC code: 05/122.</w:t>
      </w:r>
    </w:p>
    <w:p w14:paraId="584C5127" w14:textId="77777777" w:rsidR="00E12FCC" w:rsidRDefault="00E12FCC" w:rsidP="00CA4166">
      <w:pPr>
        <w:shd w:val="clear" w:color="auto" w:fill="FFFFFF"/>
        <w:spacing w:before="300" w:after="480" w:line="240" w:lineRule="auto"/>
        <w:jc w:val="center"/>
        <w:outlineLvl w:val="1"/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  <w:sectPr w:rsidR="00E12FCC" w:rsidSect="009D5701">
          <w:type w:val="continuous"/>
          <w:pgSz w:w="11906" w:h="16838"/>
          <w:pgMar w:top="1440" w:right="424" w:bottom="1440" w:left="567" w:header="708" w:footer="708" w:gutter="0"/>
          <w:cols w:num="2" w:space="708"/>
          <w:docGrid w:linePitch="360"/>
        </w:sectPr>
      </w:pPr>
    </w:p>
    <w:p w14:paraId="000E7E50" w14:textId="589428C3" w:rsidR="00E12FCC" w:rsidRDefault="00E12FCC" w:rsidP="00CA4166">
      <w:pPr>
        <w:shd w:val="clear" w:color="auto" w:fill="FFFFFF"/>
        <w:spacing w:before="300" w:after="480" w:line="240" w:lineRule="auto"/>
        <w:jc w:val="center"/>
        <w:outlineLvl w:val="1"/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</w:pPr>
    </w:p>
    <w:p w14:paraId="71C79ED1" w14:textId="18A76C78" w:rsidR="00CA4166" w:rsidRDefault="00E12FCC" w:rsidP="001C3BFF">
      <w:pPr>
        <w:jc w:val="center"/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</w:pPr>
      <w:r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  <w:br w:type="page"/>
      </w:r>
      <w:r w:rsidR="00CA4166" w:rsidRPr="00CA4166">
        <w:rPr>
          <w:rFonts w:ascii="Montserrat" w:eastAsia="Times New Roman" w:hAnsi="Montserrat" w:cs="Times New Roman"/>
          <w:caps/>
          <w:color w:val="111111"/>
          <w:spacing w:val="60"/>
          <w:kern w:val="0"/>
          <w:sz w:val="36"/>
          <w:szCs w:val="36"/>
          <w:lang w:eastAsia="en-GB"/>
          <w14:ligatures w14:val="none"/>
        </w:rPr>
        <w:lastRenderedPageBreak/>
        <w:t>KEY FEATURES</w:t>
      </w:r>
    </w:p>
    <w:p w14:paraId="1EC19F3E" w14:textId="77777777" w:rsidR="00CA4166" w:rsidRDefault="00CA4166" w:rsidP="00341733">
      <w:pPr>
        <w:spacing w:after="120"/>
        <w:jc w:val="center"/>
      </w:pPr>
    </w:p>
    <w:p w14:paraId="5FE03A8C" w14:textId="77777777" w:rsidR="00341733" w:rsidRDefault="00341733" w:rsidP="00341733">
      <w:pPr>
        <w:spacing w:after="120"/>
        <w:jc w:val="center"/>
        <w:sectPr w:rsidR="00341733" w:rsidSect="009D5701">
          <w:type w:val="continuous"/>
          <w:pgSz w:w="11906" w:h="16838"/>
          <w:pgMar w:top="2912" w:right="424" w:bottom="1440" w:left="567" w:header="708" w:footer="708" w:gutter="0"/>
          <w:cols w:space="708"/>
          <w:docGrid w:linePitch="360"/>
        </w:sectPr>
      </w:pPr>
    </w:p>
    <w:p w14:paraId="05508310" w14:textId="3DE6320A" w:rsidR="00CA4166" w:rsidRPr="00CA4166" w:rsidRDefault="00CA4166" w:rsidP="00CA4166">
      <w:pPr>
        <w:numPr>
          <w:ilvl w:val="0"/>
          <w:numId w:val="1"/>
        </w:numPr>
      </w:pPr>
      <w:r w:rsidRPr="00CA4166">
        <w:t xml:space="preserve">Quality Assured - 25 </w:t>
      </w:r>
      <w:proofErr w:type="spellStart"/>
      <w:r w:rsidRPr="00CA4166">
        <w:t>years experience</w:t>
      </w:r>
      <w:proofErr w:type="spellEnd"/>
    </w:p>
    <w:p w14:paraId="7CC0B2D5" w14:textId="54EA8054" w:rsidR="00CA4166" w:rsidRPr="00CA4166" w:rsidRDefault="00CA4166" w:rsidP="00CA4166">
      <w:pPr>
        <w:numPr>
          <w:ilvl w:val="0"/>
          <w:numId w:val="1"/>
        </w:numPr>
      </w:pPr>
      <w:r w:rsidRPr="00CA4166">
        <w:t>Ready to use stable liquid reagents</w:t>
      </w:r>
    </w:p>
    <w:p w14:paraId="07999429" w14:textId="1F357DE8" w:rsidR="00CA4166" w:rsidRPr="00CA4166" w:rsidRDefault="00CA4166" w:rsidP="00CA4166">
      <w:pPr>
        <w:numPr>
          <w:ilvl w:val="0"/>
          <w:numId w:val="1"/>
        </w:numPr>
      </w:pPr>
      <w:r w:rsidRPr="00CA4166">
        <w:t>24 months shelf life</w:t>
      </w:r>
    </w:p>
    <w:p w14:paraId="29D5A942" w14:textId="46BAEEBB" w:rsidR="00CA4166" w:rsidRPr="00CA4166" w:rsidRDefault="00CA4166" w:rsidP="00CA4166">
      <w:pPr>
        <w:numPr>
          <w:ilvl w:val="0"/>
          <w:numId w:val="2"/>
        </w:numPr>
      </w:pPr>
      <w:r w:rsidRPr="00CA4166">
        <w:t>Qualitative and titration protocols</w:t>
      </w:r>
    </w:p>
    <w:p w14:paraId="04CB23F2" w14:textId="7382AAF9" w:rsidR="00CA4166" w:rsidRPr="00CA4166" w:rsidRDefault="00CA4166" w:rsidP="00CA4166">
      <w:pPr>
        <w:numPr>
          <w:ilvl w:val="0"/>
          <w:numId w:val="2"/>
        </w:numPr>
      </w:pPr>
      <w:r w:rsidRPr="00CA4166">
        <w:t>Results ready in 45 minutes</w:t>
      </w:r>
    </w:p>
    <w:p w14:paraId="002E9BA9" w14:textId="77777777" w:rsidR="00CA4166" w:rsidRPr="00CA4166" w:rsidRDefault="00CA4166" w:rsidP="00CA4166">
      <w:pPr>
        <w:numPr>
          <w:ilvl w:val="0"/>
          <w:numId w:val="2"/>
        </w:numPr>
      </w:pPr>
      <w:r w:rsidRPr="00CA4166">
        <w:t>IVDR Certified</w:t>
      </w:r>
    </w:p>
    <w:p w14:paraId="17166456" w14:textId="77777777" w:rsidR="00CA4166" w:rsidRPr="00CA4166" w:rsidRDefault="00CA4166" w:rsidP="00CA4166">
      <w:pPr>
        <w:numPr>
          <w:ilvl w:val="0"/>
          <w:numId w:val="3"/>
        </w:numPr>
      </w:pPr>
      <w:r w:rsidRPr="00CA4166">
        <w:t>Manual reading</w:t>
      </w:r>
    </w:p>
    <w:p w14:paraId="5113E4B9" w14:textId="77777777" w:rsidR="00CA4166" w:rsidRPr="00CA4166" w:rsidRDefault="00CA4166" w:rsidP="00CA4166">
      <w:pPr>
        <w:numPr>
          <w:ilvl w:val="0"/>
          <w:numId w:val="3"/>
        </w:numPr>
      </w:pPr>
      <w:r w:rsidRPr="00CA4166">
        <w:t>Convenient kit sizes all with control cells</w:t>
      </w:r>
    </w:p>
    <w:p w14:paraId="38330618" w14:textId="77777777" w:rsidR="00CA4166" w:rsidRDefault="00CA4166">
      <w:pPr>
        <w:sectPr w:rsidR="00CA4166" w:rsidSect="009D5701">
          <w:type w:val="continuous"/>
          <w:pgSz w:w="11906" w:h="16838"/>
          <w:pgMar w:top="1440" w:right="424" w:bottom="0" w:left="426" w:header="708" w:footer="269" w:gutter="0"/>
          <w:cols w:num="2" w:space="708"/>
          <w:docGrid w:linePitch="360"/>
        </w:sectPr>
      </w:pPr>
    </w:p>
    <w:p w14:paraId="0F015637" w14:textId="77777777" w:rsidR="001C3BFF" w:rsidRDefault="001C3BFF" w:rsidP="007C5DDD"/>
    <w:p w14:paraId="7CBF8506" w14:textId="77777777" w:rsidR="001C3BFF" w:rsidRDefault="001C3BFF" w:rsidP="007C5DDD"/>
    <w:p w14:paraId="69C97E77" w14:textId="25F9EA71" w:rsidR="001C3BFF" w:rsidRDefault="00D33BA7" w:rsidP="007C5D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90C9F" wp14:editId="5959D1F0">
                <wp:simplePos x="0" y="0"/>
                <wp:positionH relativeFrom="column">
                  <wp:posOffset>2439670</wp:posOffset>
                </wp:positionH>
                <wp:positionV relativeFrom="paragraph">
                  <wp:posOffset>230505</wp:posOffset>
                </wp:positionV>
                <wp:extent cx="2242820" cy="1085215"/>
                <wp:effectExtent l="0" t="0" r="5080" b="635"/>
                <wp:wrapTopAndBottom/>
                <wp:docPr id="1289392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85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D52D" w14:textId="13439151" w:rsidR="001C3BFF" w:rsidRPr="00CA4166" w:rsidRDefault="001C3BFF" w:rsidP="001C3BFF">
                            <w:pPr>
                              <w:spacing w:before="120"/>
                            </w:pPr>
                            <w:r w:rsidRPr="00CA4166">
                              <w:t xml:space="preserve">NEWBIO TPHA </w:t>
                            </w:r>
                            <w:r>
                              <w:t>2</w:t>
                            </w:r>
                            <w:r w:rsidRPr="00CA4166">
                              <w:t>00 TEST KIT</w:t>
                            </w:r>
                          </w:p>
                          <w:p w14:paraId="6E00CB8E" w14:textId="223632A2" w:rsidR="001C3BFF" w:rsidRPr="00E12FCC" w:rsidRDefault="001C3BFF" w:rsidP="001C3BFF">
                            <w:pPr>
                              <w:spacing w:after="0"/>
                            </w:pPr>
                            <w:r w:rsidRPr="00CA4166">
                              <w:t>PRODUCT NO:</w:t>
                            </w:r>
                            <w:r w:rsidRPr="00E12FCC">
                              <w:tab/>
                              <w:t>NB00</w:t>
                            </w:r>
                            <w:r>
                              <w:t>8</w:t>
                            </w:r>
                          </w:p>
                          <w:p w14:paraId="2F8DE6DF" w14:textId="25A7D353" w:rsidR="001C3BFF" w:rsidRPr="00E12FCC" w:rsidRDefault="001C3BFF" w:rsidP="001C3BFF">
                            <w:pPr>
                              <w:spacing w:after="0"/>
                            </w:pPr>
                            <w:r w:rsidRPr="00CA4166">
                              <w:t>QUANTITY:</w:t>
                            </w:r>
                            <w:r w:rsidRPr="00E12FCC">
                              <w:tab/>
                            </w:r>
                            <w:r>
                              <w:t>2</w:t>
                            </w:r>
                            <w:r w:rsidRPr="00E12FCC">
                              <w:t>00 Tests</w:t>
                            </w:r>
                          </w:p>
                          <w:p w14:paraId="71DEBC38" w14:textId="77777777" w:rsidR="001C3BFF" w:rsidRPr="00E12FCC" w:rsidRDefault="001C3BFF" w:rsidP="001C3BFF">
                            <w:r w:rsidRPr="00CA4166">
                              <w:t>STABILITY:</w:t>
                            </w:r>
                            <w:r w:rsidRPr="00E12FCC">
                              <w:tab/>
                              <w:t>24 months @ 2-8°C</w:t>
                            </w:r>
                          </w:p>
                          <w:p w14:paraId="08E7ADED" w14:textId="77777777" w:rsidR="001C3BFF" w:rsidRPr="00E12FCC" w:rsidRDefault="001C3BFF" w:rsidP="001C3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90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1pt;margin-top:18.15pt;width:176.6pt;height:8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" fillcolor="#d8d8d8 [2732]" stroked="f">
                <v:textbox>
                  <w:txbxContent>
                    <w:p w14:paraId="0AEAD52D" w14:textId="13439151" w:rsidR="001C3BFF" w:rsidRPr="00CA4166" w:rsidRDefault="001C3BFF" w:rsidP="001C3BFF">
                      <w:pPr>
                        <w:spacing w:before="120"/>
                      </w:pPr>
                      <w:r w:rsidRPr="00CA4166">
                        <w:t xml:space="preserve">NEWBIO TPHA </w:t>
                      </w:r>
                      <w:r>
                        <w:t>2</w:t>
                      </w:r>
                      <w:r w:rsidRPr="00CA4166">
                        <w:t>00 TEST KIT</w:t>
                      </w:r>
                    </w:p>
                    <w:p w14:paraId="6E00CB8E" w14:textId="223632A2" w:rsidR="001C3BFF" w:rsidRPr="00E12FCC" w:rsidRDefault="001C3BFF" w:rsidP="001C3BFF">
                      <w:pPr>
                        <w:spacing w:after="0"/>
                      </w:pPr>
                      <w:r w:rsidRPr="00CA4166">
                        <w:t>PRODUCT NO:</w:t>
                      </w:r>
                      <w:r w:rsidRPr="00E12FCC">
                        <w:tab/>
                        <w:t>NB00</w:t>
                      </w:r>
                      <w:r>
                        <w:t>8</w:t>
                      </w:r>
                    </w:p>
                    <w:p w14:paraId="2F8DE6DF" w14:textId="25A7D353" w:rsidR="001C3BFF" w:rsidRPr="00E12FCC" w:rsidRDefault="001C3BFF" w:rsidP="001C3BFF">
                      <w:pPr>
                        <w:spacing w:after="0"/>
                      </w:pPr>
                      <w:r w:rsidRPr="00CA4166">
                        <w:t>QUANTITY:</w:t>
                      </w:r>
                      <w:r w:rsidRPr="00E12FCC">
                        <w:tab/>
                      </w:r>
                      <w:r>
                        <w:t>2</w:t>
                      </w:r>
                      <w:r w:rsidRPr="00E12FCC">
                        <w:t>00 Tests</w:t>
                      </w:r>
                    </w:p>
                    <w:p w14:paraId="71DEBC38" w14:textId="77777777" w:rsidR="001C3BFF" w:rsidRPr="00E12FCC" w:rsidRDefault="001C3BFF" w:rsidP="001C3BFF">
                      <w:r w:rsidRPr="00CA4166">
                        <w:t>STABILITY:</w:t>
                      </w:r>
                      <w:r w:rsidRPr="00E12FCC">
                        <w:tab/>
                        <w:t>24 months @ 2-8°C</w:t>
                      </w:r>
                    </w:p>
                    <w:p w14:paraId="08E7ADED" w14:textId="77777777" w:rsidR="001C3BFF" w:rsidRPr="00E12FCC" w:rsidRDefault="001C3BFF" w:rsidP="001C3BFF"/>
                  </w:txbxContent>
                </v:textbox>
                <w10:wrap type="topAndBottom"/>
              </v:shape>
            </w:pict>
          </mc:Fallback>
        </mc:AlternateContent>
      </w:r>
      <w:r w:rsidR="001C3BF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062F3C" wp14:editId="57031049">
                <wp:simplePos x="0" y="0"/>
                <wp:positionH relativeFrom="column">
                  <wp:posOffset>4911725</wp:posOffset>
                </wp:positionH>
                <wp:positionV relativeFrom="paragraph">
                  <wp:posOffset>230505</wp:posOffset>
                </wp:positionV>
                <wp:extent cx="2242820" cy="1085215"/>
                <wp:effectExtent l="0" t="0" r="5080" b="635"/>
                <wp:wrapTopAndBottom/>
                <wp:docPr id="1123810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85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CBC13" w14:textId="494F5EB8" w:rsidR="001C3BFF" w:rsidRPr="00CA4166" w:rsidRDefault="001C3BFF" w:rsidP="001C3BFF">
                            <w:pPr>
                              <w:spacing w:before="120"/>
                            </w:pPr>
                            <w:r w:rsidRPr="00CA4166">
                              <w:t xml:space="preserve">NEWBIO TPHA </w:t>
                            </w:r>
                            <w:r>
                              <w:t>10</w:t>
                            </w:r>
                            <w:r w:rsidRPr="00CA4166">
                              <w:t>00 TEST KIT</w:t>
                            </w:r>
                          </w:p>
                          <w:p w14:paraId="5B380FF9" w14:textId="40C929F0" w:rsidR="001C3BFF" w:rsidRPr="00E12FCC" w:rsidRDefault="001C3BFF" w:rsidP="001C3BFF">
                            <w:pPr>
                              <w:spacing w:after="0"/>
                            </w:pPr>
                            <w:r w:rsidRPr="00CA4166">
                              <w:t>PRODUCT NO:</w:t>
                            </w:r>
                            <w:r w:rsidRPr="00E12FCC">
                              <w:tab/>
                              <w:t>NB00</w:t>
                            </w:r>
                            <w:r>
                              <w:t>9</w:t>
                            </w:r>
                          </w:p>
                          <w:p w14:paraId="10C9B307" w14:textId="4C6ADD88" w:rsidR="001C3BFF" w:rsidRPr="00E12FCC" w:rsidRDefault="001C3BFF" w:rsidP="001C3BFF">
                            <w:pPr>
                              <w:spacing w:after="0"/>
                            </w:pPr>
                            <w:r w:rsidRPr="00CA4166">
                              <w:t>QUANTITY:</w:t>
                            </w:r>
                            <w:r w:rsidRPr="00E12FCC">
                              <w:tab/>
                            </w:r>
                            <w:r>
                              <w:t>10</w:t>
                            </w:r>
                            <w:r w:rsidRPr="00E12FCC">
                              <w:t>00 Tests</w:t>
                            </w:r>
                          </w:p>
                          <w:p w14:paraId="24E5D8C7" w14:textId="77777777" w:rsidR="001C3BFF" w:rsidRPr="00E12FCC" w:rsidRDefault="001C3BFF" w:rsidP="001C3BFF">
                            <w:r w:rsidRPr="00CA4166">
                              <w:t>STABILITY:</w:t>
                            </w:r>
                            <w:r w:rsidRPr="00E12FCC">
                              <w:tab/>
                              <w:t>24 months @ 2-8°C</w:t>
                            </w:r>
                          </w:p>
                          <w:p w14:paraId="20BA1DD7" w14:textId="77777777" w:rsidR="001C3BFF" w:rsidRPr="00E12FCC" w:rsidRDefault="001C3BFF" w:rsidP="001C3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2F3C" id="_x0000_s1027" type="#_x0000_t202" style="position:absolute;margin-left:386.75pt;margin-top:18.15pt;width:176.6pt;height:85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" fillcolor="#d8d8d8 [2732]" stroked="f">
                <v:textbox>
                  <w:txbxContent>
                    <w:p w14:paraId="7C2CBC13" w14:textId="494F5EB8" w:rsidR="001C3BFF" w:rsidRPr="00CA4166" w:rsidRDefault="001C3BFF" w:rsidP="001C3BFF">
                      <w:pPr>
                        <w:spacing w:before="120"/>
                      </w:pPr>
                      <w:r w:rsidRPr="00CA4166">
                        <w:t xml:space="preserve">NEWBIO TPHA </w:t>
                      </w:r>
                      <w:r>
                        <w:t>10</w:t>
                      </w:r>
                      <w:r w:rsidRPr="00CA4166">
                        <w:t>00 TEST KIT</w:t>
                      </w:r>
                    </w:p>
                    <w:p w14:paraId="5B380FF9" w14:textId="40C929F0" w:rsidR="001C3BFF" w:rsidRPr="00E12FCC" w:rsidRDefault="001C3BFF" w:rsidP="001C3BFF">
                      <w:pPr>
                        <w:spacing w:after="0"/>
                      </w:pPr>
                      <w:r w:rsidRPr="00CA4166">
                        <w:t>PRODUCT NO:</w:t>
                      </w:r>
                      <w:r w:rsidRPr="00E12FCC">
                        <w:tab/>
                        <w:t>NB00</w:t>
                      </w:r>
                      <w:r>
                        <w:t>9</w:t>
                      </w:r>
                    </w:p>
                    <w:p w14:paraId="10C9B307" w14:textId="4C6ADD88" w:rsidR="001C3BFF" w:rsidRPr="00E12FCC" w:rsidRDefault="001C3BFF" w:rsidP="001C3BFF">
                      <w:pPr>
                        <w:spacing w:after="0"/>
                      </w:pPr>
                      <w:r w:rsidRPr="00CA4166">
                        <w:t>QUANTITY:</w:t>
                      </w:r>
                      <w:r w:rsidRPr="00E12FCC">
                        <w:tab/>
                      </w:r>
                      <w:r>
                        <w:t>10</w:t>
                      </w:r>
                      <w:r w:rsidRPr="00E12FCC">
                        <w:t>00 Tests</w:t>
                      </w:r>
                    </w:p>
                    <w:p w14:paraId="24E5D8C7" w14:textId="77777777" w:rsidR="001C3BFF" w:rsidRPr="00E12FCC" w:rsidRDefault="001C3BFF" w:rsidP="001C3BFF">
                      <w:r w:rsidRPr="00CA4166">
                        <w:t>STABILITY:</w:t>
                      </w:r>
                      <w:r w:rsidRPr="00E12FCC">
                        <w:tab/>
                        <w:t>24 months @ 2-8°C</w:t>
                      </w:r>
                    </w:p>
                    <w:p w14:paraId="20BA1DD7" w14:textId="77777777" w:rsidR="001C3BFF" w:rsidRPr="00E12FCC" w:rsidRDefault="001C3BFF" w:rsidP="001C3BFF"/>
                  </w:txbxContent>
                </v:textbox>
                <w10:wrap type="topAndBottom"/>
              </v:shape>
            </w:pict>
          </mc:Fallback>
        </mc:AlternateContent>
      </w:r>
      <w:r w:rsidR="001C3BF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74979" wp14:editId="04D4BF60">
                <wp:simplePos x="0" y="0"/>
                <wp:positionH relativeFrom="column">
                  <wp:posOffset>6350</wp:posOffset>
                </wp:positionH>
                <wp:positionV relativeFrom="paragraph">
                  <wp:posOffset>230505</wp:posOffset>
                </wp:positionV>
                <wp:extent cx="2214245" cy="1085215"/>
                <wp:effectExtent l="0" t="0" r="0" b="6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085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BD6D" w14:textId="77777777" w:rsidR="007C5DDD" w:rsidRPr="00CA4166" w:rsidRDefault="007C5DDD" w:rsidP="007C5DDD">
                            <w:pPr>
                              <w:spacing w:before="120"/>
                            </w:pPr>
                            <w:r w:rsidRPr="00CA4166">
                              <w:t>NEWBIO TPHA 100 TEST KIT</w:t>
                            </w:r>
                          </w:p>
                          <w:p w14:paraId="6016CC99" w14:textId="77777777" w:rsidR="007C5DDD" w:rsidRPr="00E12FCC" w:rsidRDefault="007C5DDD" w:rsidP="007C5DDD">
                            <w:pPr>
                              <w:spacing w:after="0"/>
                            </w:pPr>
                            <w:r w:rsidRPr="00CA4166">
                              <w:t>PRODUCT NO:</w:t>
                            </w:r>
                            <w:r w:rsidRPr="00E12FCC">
                              <w:tab/>
                              <w:t>NB007</w:t>
                            </w:r>
                          </w:p>
                          <w:p w14:paraId="65B3E6CA" w14:textId="77777777" w:rsidR="007C5DDD" w:rsidRPr="00E12FCC" w:rsidRDefault="007C5DDD" w:rsidP="007C5DDD">
                            <w:pPr>
                              <w:spacing w:after="0"/>
                            </w:pPr>
                            <w:r w:rsidRPr="00CA4166">
                              <w:t>QUANTITY:</w:t>
                            </w:r>
                            <w:r w:rsidRPr="00E12FCC">
                              <w:tab/>
                              <w:t>100 Tests</w:t>
                            </w:r>
                          </w:p>
                          <w:p w14:paraId="41A9D216" w14:textId="77777777" w:rsidR="007C5DDD" w:rsidRPr="00E12FCC" w:rsidRDefault="007C5DDD" w:rsidP="007C5DDD">
                            <w:r w:rsidRPr="00CA4166">
                              <w:t>STABILITY:</w:t>
                            </w:r>
                            <w:r w:rsidRPr="00E12FCC">
                              <w:tab/>
                              <w:t>24 months @ 2-8°C</w:t>
                            </w:r>
                          </w:p>
                          <w:p w14:paraId="2AED75C1" w14:textId="77777777" w:rsidR="007C5DDD" w:rsidRPr="00E12FCC" w:rsidRDefault="007C5DDD" w:rsidP="007C5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4979" id="_x0000_s1028" type="#_x0000_t202" style="position:absolute;margin-left:.5pt;margin-top:18.15pt;width:174.35pt;height:8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" fillcolor="#d8d8d8 [2732]" stroked="f">
                <v:textbox>
                  <w:txbxContent>
                    <w:p w14:paraId="12D3BD6D" w14:textId="77777777" w:rsidR="007C5DDD" w:rsidRPr="00CA4166" w:rsidRDefault="007C5DDD" w:rsidP="007C5DDD">
                      <w:pPr>
                        <w:spacing w:before="120"/>
                      </w:pPr>
                      <w:r w:rsidRPr="00CA4166">
                        <w:t>NEWBIO TPHA 100 TEST KIT</w:t>
                      </w:r>
                    </w:p>
                    <w:p w14:paraId="6016CC99" w14:textId="77777777" w:rsidR="007C5DDD" w:rsidRPr="00E12FCC" w:rsidRDefault="007C5DDD" w:rsidP="007C5DDD">
                      <w:pPr>
                        <w:spacing w:after="0"/>
                      </w:pPr>
                      <w:r w:rsidRPr="00CA4166">
                        <w:t>PRODUCT NO:</w:t>
                      </w:r>
                      <w:r w:rsidRPr="00E12FCC">
                        <w:tab/>
                        <w:t>NB007</w:t>
                      </w:r>
                    </w:p>
                    <w:p w14:paraId="65B3E6CA" w14:textId="77777777" w:rsidR="007C5DDD" w:rsidRPr="00E12FCC" w:rsidRDefault="007C5DDD" w:rsidP="007C5DDD">
                      <w:pPr>
                        <w:spacing w:after="0"/>
                      </w:pPr>
                      <w:r w:rsidRPr="00CA4166">
                        <w:t>QUANTITY:</w:t>
                      </w:r>
                      <w:r w:rsidRPr="00E12FCC">
                        <w:tab/>
                        <w:t>100 Tests</w:t>
                      </w:r>
                    </w:p>
                    <w:p w14:paraId="41A9D216" w14:textId="77777777" w:rsidR="007C5DDD" w:rsidRPr="00E12FCC" w:rsidRDefault="007C5DDD" w:rsidP="007C5DDD">
                      <w:r w:rsidRPr="00CA4166">
                        <w:t>STABILITY:</w:t>
                      </w:r>
                      <w:r w:rsidRPr="00E12FCC">
                        <w:tab/>
                        <w:t>24 months @ 2-8°C</w:t>
                      </w:r>
                    </w:p>
                    <w:p w14:paraId="2AED75C1" w14:textId="77777777" w:rsidR="007C5DDD" w:rsidRPr="00E12FCC" w:rsidRDefault="007C5DDD" w:rsidP="007C5DDD"/>
                  </w:txbxContent>
                </v:textbox>
                <w10:wrap type="topAndBottom"/>
              </v:shape>
            </w:pict>
          </mc:Fallback>
        </mc:AlternateContent>
      </w:r>
    </w:p>
    <w:p w14:paraId="093A2987" w14:textId="77777777" w:rsidR="001C3BFF" w:rsidRDefault="001C3BFF" w:rsidP="007C5DDD">
      <w:pPr>
        <w:sectPr w:rsidR="001C3BFF" w:rsidSect="009D5701">
          <w:type w:val="continuous"/>
          <w:pgSz w:w="11906" w:h="16838"/>
          <w:pgMar w:top="1440" w:right="424" w:bottom="1440" w:left="426" w:header="708" w:footer="708" w:gutter="0"/>
          <w:cols w:space="708"/>
          <w:docGrid w:linePitch="360"/>
        </w:sectPr>
      </w:pPr>
    </w:p>
    <w:p w14:paraId="6578BF87" w14:textId="77777777" w:rsidR="00CA4166" w:rsidRDefault="00CA4166"/>
    <w:p w14:paraId="1A3E7945" w14:textId="77777777" w:rsidR="001C3BFF" w:rsidRDefault="001C3BFF" w:rsidP="001C3BFF">
      <w:pPr>
        <w:sectPr w:rsidR="001C3BFF" w:rsidSect="009D5701">
          <w:type w:val="continuous"/>
          <w:pgSz w:w="11906" w:h="16838"/>
          <w:pgMar w:top="1440" w:right="424" w:bottom="1440" w:left="567" w:header="708" w:footer="708" w:gutter="0"/>
          <w:cols w:space="708"/>
          <w:docGrid w:linePitch="360"/>
        </w:sectPr>
      </w:pPr>
    </w:p>
    <w:p w14:paraId="61A2E689" w14:textId="77777777" w:rsidR="001C3BFF" w:rsidRPr="00CA4166" w:rsidRDefault="001C3BFF" w:rsidP="001C3BFF">
      <w:r w:rsidRPr="00CA4166">
        <w:t>NEWBIO TPHA 100 TESTS</w:t>
      </w:r>
    </w:p>
    <w:p w14:paraId="41730377" w14:textId="77777777" w:rsidR="001C3BFF" w:rsidRPr="00CA4166" w:rsidRDefault="001C3BFF" w:rsidP="001C3BFF">
      <w:pPr>
        <w:numPr>
          <w:ilvl w:val="0"/>
          <w:numId w:val="6"/>
        </w:numPr>
        <w:spacing w:after="0"/>
        <w:ind w:left="360"/>
      </w:pPr>
      <w:r w:rsidRPr="00CA4166">
        <w:t>Haemagglutination assay for syphilis</w:t>
      </w:r>
    </w:p>
    <w:p w14:paraId="7458C312" w14:textId="77777777" w:rsidR="001C3BFF" w:rsidRPr="00CA4166" w:rsidRDefault="001C3BFF" w:rsidP="001C3BFF">
      <w:pPr>
        <w:numPr>
          <w:ilvl w:val="0"/>
          <w:numId w:val="6"/>
        </w:numPr>
        <w:spacing w:after="0"/>
        <w:ind w:left="360"/>
      </w:pPr>
      <w:r w:rsidRPr="00CA4166">
        <w:t>Native antigen and avian erythrocytes</w:t>
      </w:r>
    </w:p>
    <w:p w14:paraId="0C407763" w14:textId="77777777" w:rsidR="001C3BFF" w:rsidRPr="00CA4166" w:rsidRDefault="001C3BFF" w:rsidP="001C3BFF">
      <w:pPr>
        <w:numPr>
          <w:ilvl w:val="0"/>
          <w:numId w:val="6"/>
        </w:numPr>
        <w:spacing w:after="0"/>
        <w:ind w:left="360"/>
      </w:pPr>
      <w:r w:rsidRPr="00CA4166">
        <w:t>All reagents ready to use.</w:t>
      </w:r>
    </w:p>
    <w:p w14:paraId="2030CF88" w14:textId="77777777" w:rsidR="001C3BFF" w:rsidRPr="00CA4166" w:rsidRDefault="001C3BFF" w:rsidP="001C3BFF">
      <w:pPr>
        <w:numPr>
          <w:ilvl w:val="0"/>
          <w:numId w:val="6"/>
        </w:numPr>
        <w:tabs>
          <w:tab w:val="clear" w:pos="720"/>
          <w:tab w:val="num" w:pos="851"/>
        </w:tabs>
        <w:spacing w:after="0"/>
        <w:ind w:left="360"/>
      </w:pPr>
      <w:r w:rsidRPr="00CA4166">
        <w:t>TPHA Test cells</w:t>
      </w:r>
      <w:r w:rsidRPr="00CA4166">
        <w:br/>
        <w:t>TPHA Control cells</w:t>
      </w:r>
      <w:r w:rsidRPr="00CA4166">
        <w:br/>
        <w:t>TPHA Diluent</w:t>
      </w:r>
      <w:r w:rsidRPr="00CA4166">
        <w:br/>
        <w:t>TPHA Negative control</w:t>
      </w:r>
      <w:r w:rsidRPr="00CA4166">
        <w:br/>
        <w:t>TPHA Positive control</w:t>
      </w:r>
    </w:p>
    <w:p w14:paraId="0B966196" w14:textId="77777777" w:rsidR="001C3BFF" w:rsidRPr="00CA4166" w:rsidRDefault="001C3BFF" w:rsidP="001C3BFF">
      <w:pPr>
        <w:numPr>
          <w:ilvl w:val="0"/>
          <w:numId w:val="6"/>
        </w:numPr>
        <w:spacing w:after="0"/>
        <w:ind w:left="360"/>
      </w:pPr>
      <w:r w:rsidRPr="00CA4166">
        <w:t xml:space="preserve">Simple protocol: 1 x </w:t>
      </w:r>
      <w:proofErr w:type="gramStart"/>
      <w:r w:rsidRPr="00CA4166">
        <w:t>45 minute</w:t>
      </w:r>
      <w:proofErr w:type="gramEnd"/>
      <w:r w:rsidRPr="00CA4166">
        <w:t xml:space="preserve"> incubation</w:t>
      </w:r>
    </w:p>
    <w:p w14:paraId="232A6E6B" w14:textId="77777777" w:rsidR="001C3BFF" w:rsidRPr="00CA4166" w:rsidRDefault="001C3BFF" w:rsidP="001C3BFF">
      <w:pPr>
        <w:numPr>
          <w:ilvl w:val="0"/>
          <w:numId w:val="6"/>
        </w:numPr>
        <w:spacing w:after="0"/>
        <w:ind w:left="360"/>
      </w:pPr>
      <w:r w:rsidRPr="00CA4166">
        <w:t>Manual</w:t>
      </w:r>
    </w:p>
    <w:p w14:paraId="2DDAB7D1" w14:textId="77777777" w:rsidR="001C3BFF" w:rsidRDefault="001C3BFF" w:rsidP="001C3BFF">
      <w:pPr>
        <w:numPr>
          <w:ilvl w:val="0"/>
          <w:numId w:val="6"/>
        </w:numPr>
        <w:spacing w:after="0"/>
        <w:ind w:left="360"/>
      </w:pPr>
      <w:r w:rsidRPr="00CA4166">
        <w:t>Only requires 10 µL sample</w:t>
      </w:r>
    </w:p>
    <w:p w14:paraId="48A9C105" w14:textId="2DB6AF19" w:rsidR="00EA3B2F" w:rsidRPr="00CA4166" w:rsidRDefault="00EA3B2F" w:rsidP="001C3BFF">
      <w:pPr>
        <w:numPr>
          <w:ilvl w:val="0"/>
          <w:numId w:val="6"/>
        </w:numPr>
        <w:spacing w:after="0"/>
        <w:ind w:left="360"/>
      </w:pPr>
      <w:r>
        <w:t>Serum, EDTA Plasma, CSF</w:t>
      </w:r>
    </w:p>
    <w:p w14:paraId="6ED46C56" w14:textId="77777777" w:rsidR="001C3BFF" w:rsidRDefault="001C3BFF" w:rsidP="001C3BFF"/>
    <w:p w14:paraId="62738191" w14:textId="2231E2BF" w:rsidR="001C3BFF" w:rsidRPr="00CA4166" w:rsidRDefault="001C3BFF" w:rsidP="001C3BFF">
      <w:r w:rsidRPr="00CA4166">
        <w:t>NEWBIO TPHA 200 TESTS</w:t>
      </w:r>
    </w:p>
    <w:p w14:paraId="043E8E37" w14:textId="77777777" w:rsidR="001C3BFF" w:rsidRPr="00CA4166" w:rsidRDefault="001C3BFF" w:rsidP="001C3BFF">
      <w:pPr>
        <w:numPr>
          <w:ilvl w:val="0"/>
          <w:numId w:val="8"/>
        </w:numPr>
        <w:spacing w:after="0"/>
        <w:ind w:left="360"/>
      </w:pPr>
      <w:r w:rsidRPr="00CA4166">
        <w:t>Haemagglutination assay for syphilis</w:t>
      </w:r>
    </w:p>
    <w:p w14:paraId="6EE29517" w14:textId="77777777" w:rsidR="001C3BFF" w:rsidRPr="00CA4166" w:rsidRDefault="001C3BFF" w:rsidP="001C3BFF">
      <w:pPr>
        <w:numPr>
          <w:ilvl w:val="0"/>
          <w:numId w:val="8"/>
        </w:numPr>
        <w:spacing w:after="0"/>
        <w:ind w:left="360"/>
      </w:pPr>
      <w:r w:rsidRPr="00CA4166">
        <w:t>Native antigen and avian erythrocytes</w:t>
      </w:r>
    </w:p>
    <w:p w14:paraId="057E8DA4" w14:textId="77777777" w:rsidR="001C3BFF" w:rsidRPr="00CA4166" w:rsidRDefault="001C3BFF" w:rsidP="001C3BFF">
      <w:pPr>
        <w:numPr>
          <w:ilvl w:val="0"/>
          <w:numId w:val="8"/>
        </w:numPr>
        <w:spacing w:after="0"/>
        <w:ind w:left="360"/>
      </w:pPr>
      <w:r w:rsidRPr="00CA4166">
        <w:t>All reagents ready to use.</w:t>
      </w:r>
    </w:p>
    <w:p w14:paraId="630C90D6" w14:textId="77777777" w:rsidR="001C3BFF" w:rsidRPr="00CA4166" w:rsidRDefault="001C3BFF" w:rsidP="001C3BFF">
      <w:pPr>
        <w:numPr>
          <w:ilvl w:val="0"/>
          <w:numId w:val="8"/>
        </w:numPr>
        <w:spacing w:after="0"/>
        <w:ind w:left="360"/>
      </w:pPr>
      <w:r w:rsidRPr="00CA4166">
        <w:t>TPHA Test cells</w:t>
      </w:r>
      <w:r w:rsidRPr="00CA4166">
        <w:br/>
        <w:t>TPHA Control cells</w:t>
      </w:r>
      <w:r w:rsidRPr="00CA4166">
        <w:br/>
        <w:t>TPHA Diluent</w:t>
      </w:r>
      <w:r w:rsidRPr="00CA4166">
        <w:br/>
        <w:t>TPHA Negative control</w:t>
      </w:r>
      <w:r w:rsidRPr="00CA4166">
        <w:br/>
        <w:t>TPHA Positive control</w:t>
      </w:r>
    </w:p>
    <w:p w14:paraId="741D4DC9" w14:textId="77777777" w:rsidR="001C3BFF" w:rsidRPr="00CA4166" w:rsidRDefault="001C3BFF" w:rsidP="001C3BFF">
      <w:pPr>
        <w:numPr>
          <w:ilvl w:val="0"/>
          <w:numId w:val="8"/>
        </w:numPr>
        <w:spacing w:after="0"/>
        <w:ind w:left="360"/>
      </w:pPr>
      <w:r w:rsidRPr="00CA4166">
        <w:t xml:space="preserve">Simple protocol: 1 x </w:t>
      </w:r>
      <w:proofErr w:type="gramStart"/>
      <w:r w:rsidRPr="00CA4166">
        <w:t>45 minute</w:t>
      </w:r>
      <w:proofErr w:type="gramEnd"/>
      <w:r w:rsidRPr="00CA4166">
        <w:t xml:space="preserve"> incubation</w:t>
      </w:r>
    </w:p>
    <w:p w14:paraId="233E1560" w14:textId="77777777" w:rsidR="001C3BFF" w:rsidRPr="00CA4166" w:rsidRDefault="001C3BFF" w:rsidP="001C3BFF">
      <w:pPr>
        <w:numPr>
          <w:ilvl w:val="0"/>
          <w:numId w:val="8"/>
        </w:numPr>
        <w:spacing w:after="0"/>
        <w:ind w:left="360"/>
      </w:pPr>
      <w:r w:rsidRPr="00CA4166">
        <w:t>Manual</w:t>
      </w:r>
    </w:p>
    <w:p w14:paraId="0977852F" w14:textId="77777777" w:rsidR="00EA3B2F" w:rsidRDefault="001C3BFF" w:rsidP="00EA3B2F">
      <w:pPr>
        <w:numPr>
          <w:ilvl w:val="0"/>
          <w:numId w:val="8"/>
        </w:numPr>
        <w:spacing w:after="0"/>
        <w:ind w:left="360"/>
      </w:pPr>
      <w:r w:rsidRPr="00CA4166">
        <w:t>Only requires 10 µL sample</w:t>
      </w:r>
    </w:p>
    <w:p w14:paraId="097BEABE" w14:textId="04569AA6" w:rsidR="00EA3B2F" w:rsidRPr="00EA3B2F" w:rsidRDefault="00EA3B2F" w:rsidP="00EA3B2F">
      <w:pPr>
        <w:numPr>
          <w:ilvl w:val="0"/>
          <w:numId w:val="8"/>
        </w:numPr>
        <w:spacing w:after="0"/>
        <w:ind w:left="360"/>
      </w:pPr>
      <w:r w:rsidRPr="00EA3B2F">
        <w:t>Serum, EDTA Plasma, CSF</w:t>
      </w:r>
    </w:p>
    <w:p w14:paraId="38DA6BE5" w14:textId="77777777" w:rsidR="00EA3B2F" w:rsidRPr="00CA4166" w:rsidRDefault="00EA3B2F" w:rsidP="00EA3B2F">
      <w:pPr>
        <w:spacing w:after="0"/>
      </w:pPr>
    </w:p>
    <w:p w14:paraId="1D3DBEE7" w14:textId="664D0CDC" w:rsidR="001C3BFF" w:rsidRPr="00CA4166" w:rsidRDefault="001C3BFF" w:rsidP="001C3BFF">
      <w:r w:rsidRPr="00CA4166">
        <w:t>NEWBIO TPHA 1000 TESTS</w:t>
      </w:r>
    </w:p>
    <w:p w14:paraId="25D35751" w14:textId="77777777" w:rsidR="00EA3B2F" w:rsidRDefault="001C3BFF" w:rsidP="00B559FE">
      <w:pPr>
        <w:numPr>
          <w:ilvl w:val="0"/>
          <w:numId w:val="10"/>
        </w:numPr>
        <w:tabs>
          <w:tab w:val="clear" w:pos="720"/>
          <w:tab w:val="num" w:pos="709"/>
        </w:tabs>
        <w:spacing w:after="0"/>
        <w:ind w:left="360"/>
      </w:pPr>
      <w:r w:rsidRPr="00CA4166">
        <w:t>Haemagglutination assay for syphilis</w:t>
      </w:r>
    </w:p>
    <w:p w14:paraId="4ED326B3" w14:textId="3082D287" w:rsidR="001C3BFF" w:rsidRPr="00CA4166" w:rsidRDefault="001C3BFF" w:rsidP="00B559FE">
      <w:pPr>
        <w:numPr>
          <w:ilvl w:val="0"/>
          <w:numId w:val="10"/>
        </w:numPr>
        <w:tabs>
          <w:tab w:val="clear" w:pos="720"/>
          <w:tab w:val="num" w:pos="709"/>
        </w:tabs>
        <w:spacing w:after="0"/>
        <w:ind w:left="360"/>
      </w:pPr>
      <w:r w:rsidRPr="00CA4166">
        <w:t>Native antigen and avian erythrocytes</w:t>
      </w:r>
    </w:p>
    <w:p w14:paraId="158072DA" w14:textId="77777777" w:rsidR="001C3BFF" w:rsidRPr="00CA4166" w:rsidRDefault="001C3BFF" w:rsidP="001C3BFF">
      <w:pPr>
        <w:numPr>
          <w:ilvl w:val="0"/>
          <w:numId w:val="10"/>
        </w:numPr>
        <w:tabs>
          <w:tab w:val="clear" w:pos="720"/>
          <w:tab w:val="num" w:pos="709"/>
        </w:tabs>
        <w:spacing w:after="0"/>
        <w:ind w:left="360"/>
      </w:pPr>
      <w:r w:rsidRPr="00CA4166">
        <w:t>All reagents ready to use.</w:t>
      </w:r>
    </w:p>
    <w:p w14:paraId="7BC2D628" w14:textId="77777777" w:rsidR="001C3BFF" w:rsidRPr="00CA4166" w:rsidRDefault="001C3BFF" w:rsidP="001C3BFF">
      <w:pPr>
        <w:numPr>
          <w:ilvl w:val="0"/>
          <w:numId w:val="10"/>
        </w:numPr>
        <w:tabs>
          <w:tab w:val="clear" w:pos="720"/>
          <w:tab w:val="num" w:pos="709"/>
        </w:tabs>
        <w:spacing w:after="0"/>
        <w:ind w:left="360"/>
      </w:pPr>
      <w:r w:rsidRPr="00CA4166">
        <w:t>TPHA Test cells</w:t>
      </w:r>
      <w:r w:rsidRPr="00CA4166">
        <w:br/>
        <w:t>TPHA Control cells</w:t>
      </w:r>
      <w:r w:rsidRPr="00CA4166">
        <w:br/>
        <w:t>TPHA Diluent</w:t>
      </w:r>
      <w:r w:rsidRPr="00CA4166">
        <w:br/>
        <w:t>TPHA Negative control</w:t>
      </w:r>
      <w:r w:rsidRPr="00CA4166">
        <w:br/>
        <w:t>TPHA Positive control</w:t>
      </w:r>
    </w:p>
    <w:p w14:paraId="7C9EA8E0" w14:textId="77777777" w:rsidR="001C3BFF" w:rsidRPr="00CA4166" w:rsidRDefault="001C3BFF" w:rsidP="001C3BFF">
      <w:pPr>
        <w:numPr>
          <w:ilvl w:val="0"/>
          <w:numId w:val="10"/>
        </w:numPr>
        <w:tabs>
          <w:tab w:val="clear" w:pos="720"/>
          <w:tab w:val="num" w:pos="709"/>
        </w:tabs>
        <w:spacing w:after="0"/>
        <w:ind w:left="360"/>
      </w:pPr>
      <w:r w:rsidRPr="00CA4166">
        <w:t xml:space="preserve">Simple protocol: 1 x </w:t>
      </w:r>
      <w:proofErr w:type="gramStart"/>
      <w:r w:rsidRPr="00CA4166">
        <w:t>45 minute</w:t>
      </w:r>
      <w:proofErr w:type="gramEnd"/>
      <w:r w:rsidRPr="00CA4166">
        <w:t xml:space="preserve"> incubation</w:t>
      </w:r>
    </w:p>
    <w:p w14:paraId="6DC18C63" w14:textId="77777777" w:rsidR="001C3BFF" w:rsidRPr="00CA4166" w:rsidRDefault="001C3BFF" w:rsidP="001C3BFF">
      <w:pPr>
        <w:numPr>
          <w:ilvl w:val="0"/>
          <w:numId w:val="10"/>
        </w:numPr>
        <w:tabs>
          <w:tab w:val="clear" w:pos="720"/>
          <w:tab w:val="num" w:pos="709"/>
        </w:tabs>
        <w:spacing w:after="0"/>
        <w:ind w:left="360"/>
      </w:pPr>
      <w:r w:rsidRPr="00CA4166">
        <w:t>Manual</w:t>
      </w:r>
    </w:p>
    <w:p w14:paraId="5BA7E27E" w14:textId="77777777" w:rsidR="00EA3B2F" w:rsidRDefault="001C3BFF" w:rsidP="00EA3B2F">
      <w:pPr>
        <w:numPr>
          <w:ilvl w:val="0"/>
          <w:numId w:val="10"/>
        </w:numPr>
        <w:spacing w:after="0"/>
        <w:ind w:left="360"/>
      </w:pPr>
      <w:r w:rsidRPr="00CA4166">
        <w:t>Only requires 10 µL sample</w:t>
      </w:r>
    </w:p>
    <w:p w14:paraId="69BF0190" w14:textId="38C65E49" w:rsidR="00EA3B2F" w:rsidRDefault="00EA3B2F" w:rsidP="00EA3B2F">
      <w:pPr>
        <w:numPr>
          <w:ilvl w:val="0"/>
          <w:numId w:val="10"/>
        </w:numPr>
        <w:spacing w:after="0"/>
        <w:ind w:left="360"/>
        <w:sectPr w:rsidR="00EA3B2F" w:rsidSect="009D5701">
          <w:type w:val="continuous"/>
          <w:pgSz w:w="11906" w:h="16838"/>
          <w:pgMar w:top="1440" w:right="424" w:bottom="1440" w:left="567" w:header="708" w:footer="708" w:gutter="0"/>
          <w:cols w:num="3" w:space="708"/>
          <w:docGrid w:linePitch="360"/>
        </w:sectPr>
      </w:pPr>
      <w:r>
        <w:t>Serum,  EDTA Plasma, CSF</w:t>
      </w:r>
    </w:p>
    <w:p w14:paraId="5447CD7C" w14:textId="77777777" w:rsidR="001C3BFF" w:rsidRDefault="001C3BFF"/>
    <w:sectPr w:rsidR="001C3BFF" w:rsidSect="009D5701">
      <w:type w:val="continuous"/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4651" w14:textId="77777777" w:rsidR="00F04A8E" w:rsidRDefault="00F04A8E" w:rsidP="00CA4166">
      <w:pPr>
        <w:spacing w:after="0" w:line="240" w:lineRule="auto"/>
      </w:pPr>
      <w:r>
        <w:separator/>
      </w:r>
    </w:p>
  </w:endnote>
  <w:endnote w:type="continuationSeparator" w:id="0">
    <w:p w14:paraId="4D66FA51" w14:textId="77777777" w:rsidR="00F04A8E" w:rsidRDefault="00F04A8E" w:rsidP="00CA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21E3" w14:textId="1D95423F" w:rsidR="00F25B53" w:rsidRDefault="00F25B5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1B25C9" wp14:editId="66853AA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817F4" w14:textId="157B567B" w:rsidR="00F25B53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F25B53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NEWBIO TPHA Test</w:t>
                                </w:r>
                              </w:sdtContent>
                            </w:sdt>
                            <w:r w:rsidR="00F25B5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F25B5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Version 1.0 | April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1B25C9" id="Group 57" o:spid="_x0000_s1029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3817F4" w14:textId="157B567B" w:rsidR="00F25B53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F25B53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NEWBIO TPHA Test</w:t>
                          </w:r>
                        </w:sdtContent>
                      </w:sdt>
                      <w:r w:rsidR="00F25B5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F25B5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Version 1.0 | April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A771" w14:textId="77777777" w:rsidR="00F04A8E" w:rsidRDefault="00F04A8E" w:rsidP="00CA4166">
      <w:pPr>
        <w:spacing w:after="0" w:line="240" w:lineRule="auto"/>
      </w:pPr>
      <w:r>
        <w:separator/>
      </w:r>
    </w:p>
  </w:footnote>
  <w:footnote w:type="continuationSeparator" w:id="0">
    <w:p w14:paraId="26C1CD05" w14:textId="77777777" w:rsidR="00F04A8E" w:rsidRDefault="00F04A8E" w:rsidP="00CA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0292" w14:textId="50AE44BF" w:rsidR="00CA4166" w:rsidRPr="00CA4166" w:rsidRDefault="00CA4166" w:rsidP="00CA4166">
    <w:pPr>
      <w:shd w:val="clear" w:color="auto" w:fill="FFFFFF"/>
      <w:spacing w:before="300" w:after="150" w:line="240" w:lineRule="auto"/>
      <w:jc w:val="right"/>
      <w:outlineLvl w:val="2"/>
      <w:rPr>
        <w:rFonts w:ascii="Montserrat" w:eastAsia="Times New Roman" w:hAnsi="Montserrat" w:cs="Open Sans"/>
        <w:caps/>
        <w:color w:val="111111"/>
        <w:spacing w:val="53"/>
        <w:kern w:val="0"/>
        <w:sz w:val="40"/>
        <w:szCs w:val="40"/>
        <w:lang w:eastAsia="en-GB"/>
        <w14:ligatures w14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1F863" wp14:editId="17C2BEAD">
          <wp:simplePos x="0" y="0"/>
          <wp:positionH relativeFrom="column">
            <wp:posOffset>9208</wp:posOffset>
          </wp:positionH>
          <wp:positionV relativeFrom="paragraph">
            <wp:posOffset>-149542</wp:posOffset>
          </wp:positionV>
          <wp:extent cx="706616" cy="706616"/>
          <wp:effectExtent l="0" t="0" r="0" b="0"/>
          <wp:wrapTight wrapText="bothSides">
            <wp:wrapPolygon edited="0">
              <wp:start x="0" y="0"/>
              <wp:lineTo x="0" y="20978"/>
              <wp:lineTo x="20978" y="20978"/>
              <wp:lineTo x="20978" y="0"/>
              <wp:lineTo x="0" y="0"/>
            </wp:wrapPolygon>
          </wp:wrapTight>
          <wp:docPr id="7533927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188924" name="Picture 787188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616" cy="706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4166">
      <w:rPr>
        <w:rFonts w:ascii="Montserrat" w:eastAsia="Times New Roman" w:hAnsi="Montserrat" w:cs="Open Sans"/>
        <w:caps/>
        <w:color w:val="111111"/>
        <w:spacing w:val="53"/>
        <w:kern w:val="0"/>
        <w:sz w:val="40"/>
        <w:szCs w:val="40"/>
        <w:lang w:eastAsia="en-GB"/>
        <w14:ligatures w14:val="none"/>
      </w:rPr>
      <w:t xml:space="preserve"> NEWBIO TPHA TEST</w:t>
    </w:r>
  </w:p>
  <w:p w14:paraId="03C6E53F" w14:textId="210179E7" w:rsidR="00CA4166" w:rsidRDefault="00CA4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4672"/>
    <w:multiLevelType w:val="multilevel"/>
    <w:tmpl w:val="3836F8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F30CF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32FF0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86B60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D7CEC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31CEC"/>
    <w:multiLevelType w:val="hybridMultilevel"/>
    <w:tmpl w:val="7768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16E48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549BC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F4CE8"/>
    <w:multiLevelType w:val="multilevel"/>
    <w:tmpl w:val="AC7C8A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51BC8"/>
    <w:multiLevelType w:val="multilevel"/>
    <w:tmpl w:val="A93016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87DD2"/>
    <w:multiLevelType w:val="hybridMultilevel"/>
    <w:tmpl w:val="7C08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208D4"/>
    <w:multiLevelType w:val="multilevel"/>
    <w:tmpl w:val="EB9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104775">
    <w:abstractNumId w:val="9"/>
  </w:num>
  <w:num w:numId="2" w16cid:durableId="168060389">
    <w:abstractNumId w:val="8"/>
  </w:num>
  <w:num w:numId="3" w16cid:durableId="686713629">
    <w:abstractNumId w:val="0"/>
  </w:num>
  <w:num w:numId="4" w16cid:durableId="1501040770">
    <w:abstractNumId w:val="3"/>
  </w:num>
  <w:num w:numId="5" w16cid:durableId="1704675422">
    <w:abstractNumId w:val="11"/>
  </w:num>
  <w:num w:numId="6" w16cid:durableId="1437362616">
    <w:abstractNumId w:val="2"/>
  </w:num>
  <w:num w:numId="7" w16cid:durableId="116262465">
    <w:abstractNumId w:val="7"/>
  </w:num>
  <w:num w:numId="8" w16cid:durableId="853374433">
    <w:abstractNumId w:val="1"/>
  </w:num>
  <w:num w:numId="9" w16cid:durableId="1213467341">
    <w:abstractNumId w:val="4"/>
  </w:num>
  <w:num w:numId="10" w16cid:durableId="83842014">
    <w:abstractNumId w:val="6"/>
  </w:num>
  <w:num w:numId="11" w16cid:durableId="173035453">
    <w:abstractNumId w:val="5"/>
  </w:num>
  <w:num w:numId="12" w16cid:durableId="220291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66"/>
    <w:rsid w:val="001C3BFF"/>
    <w:rsid w:val="00203CF2"/>
    <w:rsid w:val="002C7474"/>
    <w:rsid w:val="00341733"/>
    <w:rsid w:val="004602FC"/>
    <w:rsid w:val="007C5DDD"/>
    <w:rsid w:val="009D5701"/>
    <w:rsid w:val="00A849FB"/>
    <w:rsid w:val="00CA4166"/>
    <w:rsid w:val="00D33BA7"/>
    <w:rsid w:val="00DE4CF5"/>
    <w:rsid w:val="00E12FCC"/>
    <w:rsid w:val="00EA3B2F"/>
    <w:rsid w:val="00F04A8E"/>
    <w:rsid w:val="00F25B53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5952A"/>
  <w15:chartTrackingRefBased/>
  <w15:docId w15:val="{92B0B502-1307-460D-A53E-94FD34E9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66"/>
  </w:style>
  <w:style w:type="paragraph" w:styleId="Footer">
    <w:name w:val="footer"/>
    <w:basedOn w:val="Normal"/>
    <w:link w:val="FooterChar"/>
    <w:uiPriority w:val="99"/>
    <w:unhideWhenUsed/>
    <w:rsid w:val="00CA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66"/>
  </w:style>
  <w:style w:type="paragraph" w:styleId="ListParagraph">
    <w:name w:val="List Paragraph"/>
    <w:basedOn w:val="Normal"/>
    <w:uiPriority w:val="34"/>
    <w:qFormat/>
    <w:rsid w:val="00CA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57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073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120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841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7263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5063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NEWBIO TPHA Test</dc:title>
  <dc:subject>Version 1.0 | April 2024</dc:subject>
  <dc:creator>Steven</dc:creator>
  <cp:keywords/>
  <dc:description/>
  <cp:lastModifiedBy>Amy Fairley</cp:lastModifiedBy>
  <cp:revision>2</cp:revision>
  <dcterms:created xsi:type="dcterms:W3CDTF">2024-05-22T14:49:00Z</dcterms:created>
  <dcterms:modified xsi:type="dcterms:W3CDTF">2024-05-22T14:49:00Z</dcterms:modified>
</cp:coreProperties>
</file>